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>
        <w:rPr>
          <w:b w:val="1"/>
          <w:bCs w:val="1"/>
          <w:sz w:val="22"/>
          <w:szCs w:val="22"/>
          <w:rtl w:val="0"/>
        </w:rPr>
        <w:t xml:space="preserve">1.1. Codul ZPB*</w:t>
      </w:r>
      <w:r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RONPA0292ZPB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Chihlimbarul de Buzău</w:t>
      </w:r>
      <w:r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>
        <w:rPr>
          <w:b w:val="1"/>
          <w:bCs w:val="1"/>
          <w:sz w:val="22"/>
          <w:szCs w:val="22"/>
          <w:rtl w:val="0"/>
        </w:rPr>
        <w:t xml:space="preserve">1.3. Încadrarea ZPB în: </w:t>
      </w:r>
      <w:r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1168349819"/>
          <w:tag w:val="goog_rdk_0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>
        <w:rPr>
          <w:sz w:val="22"/>
          <w:szCs w:val="22"/>
          <w:rtl w:val="0"/>
        </w:rPr>
        <w:t xml:space="preserve"> Arie naturală protejată</w:t>
      </w:r>
      <w:r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-1704760541"/>
          <w:tag w:val="goog_rdk_1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>
        <w:rPr>
          <w:sz w:val="22"/>
          <w:szCs w:val="22"/>
          <w:rtl w:val="0"/>
        </w:rPr>
        <w:t xml:space="preserve"> OECM (Other effective area-based conservation measures)</w:t>
      </w:r>
      <w:r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1821061732"/>
          <w:tag w:val="goog_rdk_2"/>
        </w:sdtPr>
        <w:sdtContent>
          <w:r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>
        <w:rPr>
          <w:sz w:val="22"/>
          <w:szCs w:val="22"/>
          <w:rtl w:val="0"/>
        </w:rPr>
        <w:t xml:space="preserve"> Zonă potențială care să devină arie naturală protejată</w:t>
      </w:r>
      <w:r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>
        <w:rPr>
          <w:b w:val="1"/>
          <w:bCs w:val="1"/>
          <w:sz w:val="22"/>
          <w:szCs w:val="22"/>
          <w:rtl w:val="0"/>
        </w:rPr>
        <w:t xml:space="preserve">1.6. Responsabili</w:t>
      </w:r>
      <w:r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>
              <w:rPr>
                <w:sz w:val="22"/>
                <w:szCs w:val="22"/>
                <w:rtl w:val="0"/>
              </w:rPr>
              <w:t xml:space="preserve">Data desemnării ca ZPB: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>
        <w:rPr>
          <w:sz w:val="22"/>
          <w:szCs w:val="22"/>
          <w:rtl w:val="0"/>
        </w:rPr>
        <w:t xml:space="preserve">Referința legală națională a desemnării ZPB:</w:t>
      </w:r>
      <w:r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>
        <w:rPr>
          <w:b w:val="1"/>
          <w:bCs w:val="1"/>
          <w:sz w:val="22"/>
          <w:szCs w:val="22"/>
          <w:rtl w:val="0"/>
        </w:rPr>
        <w:t xml:space="preserve">2.1. Suprafața totală a ZPB (ha)</w:t>
      </w:r>
      <w:r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3,56</w:t>
      </w:r>
    </w:p>
    <w:p w:rsidR="00000000" w:rsidDel="00000000" w:rsidP="00000000" w:rsidRDefault="00000000" w:rsidRPr="00000000" w14:paraId="00000045">
      <w:pPr>
        <w:rPr/>
      </w:pPr>
      <w:r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100,00%</w:t>
      </w:r>
    </w:p>
    <w:p w:rsidR="00000000" w:rsidDel="00000000" w:rsidP="00000000" w:rsidRDefault="00000000" w:rsidRPr="00000000" w14:paraId="00000047">
      <w:pPr>
        <w:rPr/>
      </w:pPr>
      <w:r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>
        <w:rPr>
          <w:rtl w:val="0"/>
        </w:rPr>
      </w:r>
    </w:p>
    <w:tbl>
      <w:tblPr>
        <w:tblStyle w:val="Table6"/>
        <w:tblW w:w="9000.000000000002" w:type="dxa"/>
        <w:jc w:val="left"/>
        <w:tblLayout w:type="fixed"/>
        <w:tblLook w:val="0400"/>
      </w:tblPr>
      <w:tblGrid>
        <w:gridCol w:w="10"/>
        <w:gridCol w:w="3156"/>
        <w:gridCol w:w="445"/>
        <w:gridCol w:w="5377"/>
        <w:gridCol w:w="12"/>
        <w:tblGridChange w:id="0">
          <w:tblGrid>
            <w:gridCol w:w="10"/>
            <w:gridCol w:w="3156"/>
            <w:gridCol w:w="445"/>
            <w:gridCol w:w="5377"/>
            <w:gridCol w:w="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>
              <w:rPr>
                <w:sz w:val="22"/>
                <w:szCs w:val="22"/>
                <w:rtl w:val="0"/>
              </w:rPr>
              <w:t xml:space="preserve">NUTS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>
              <w:rPr>
                <w:sz w:val="22"/>
                <w:szCs w:val="22"/>
                <w:rtl w:val="0"/>
              </w:rPr>
              <w:t xml:space="preserve">Numele regiunii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>
              <w:rPr>
                <w:sz w:val="22"/>
                <w:szCs w:val="22"/>
                <w:rtl w:val="0"/>
              </w:rPr>
              <w:t xml:space="preserve">RO22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>
              <w:rPr>
                <w:sz w:val="22"/>
                <w:szCs w:val="22"/>
                <w:rtl w:val="0"/>
              </w:rPr>
              <w:t xml:space="preserve">Sud-Est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>
        <w:rPr>
          <w:sz w:val="22"/>
          <w:szCs w:val="22"/>
          <w:rtl w:val="0"/>
        </w:rPr>
        <w:t xml:space="preserve">Numele Județului/Județelor</w:t>
      </w:r>
      <w:r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Buzău</w:t>
      </w:r>
      <w:r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1191946460"/>
                <w:tag w:val="goog_rdk_3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Alpină 100%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sdt>
              <w:sdtPr>
                <w:id w:val="3564954"/>
                <w:tag w:val="goog_rdk_4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Continentală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872826879"/>
                <w:tag w:val="goog_rdk_5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Panonică %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731908869"/>
                <w:tag w:val="goog_rdk_6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Stepică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718001323"/>
                <w:tag w:val="goog_rdk_7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Pontică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-850697406"/>
                <w:tag w:val="goog_rdk_8"/>
              </w:sdtPr>
              <w:sdtContent>
                <w:r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>
              <w:rPr>
                <w:sz w:val="22"/>
                <w:szCs w:val="22"/>
                <w:rtl w:val="0"/>
              </w:rPr>
              <w:t xml:space="preserve"> Marea Neagră %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>
        <w:rPr>
          <w:rtl w:val="0"/>
        </w:rPr>
        <w:br w:type="textWrapping"/>
      </w:r>
      <w:r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  <w:r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6">
      <w:pPr>
        <w:rPr/>
      </w:pPr>
      <w:r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>
        <w:rPr>
          <w:sz w:val="22"/>
          <w:szCs w:val="22"/>
          <w:rtl w:val="0"/>
        </w:rPr>
        <w:t xml:space="preserve">Suprafața totală a ZPB (ha)</w:t>
      </w:r>
      <w:r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3,56</w:t>
      </w:r>
    </w:p>
    <w:p w:rsidR="00000000" w:rsidDel="00000000" w:rsidP="00000000" w:rsidRDefault="00000000" w:rsidRPr="00000000" w14:paraId="00000069">
      <w:pPr>
        <w:rPr/>
      </w:pPr>
      <w:r>
        <w:rPr>
          <w:sz w:val="22"/>
          <w:szCs w:val="22"/>
          <w:rtl w:val="0"/>
        </w:rPr>
        <w:t xml:space="preserve">Documente relevante în raport cu ZPB</w:t>
      </w:r>
      <w:r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(*actualizată*) privind aprobarea Planului de amenajare a teritoriului naţional - Secţiunea a III-a - zone protejate - Monumentul naturii RONPA0292 Chihlimbarul de Buzău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6F">
      <w:pPr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>
        <w:rPr>
          <w:sz w:val="22"/>
          <w:szCs w:val="22"/>
          <w:rtl w:val="0"/>
        </w:rPr>
        <w:t xml:space="preserve">Informația ecologică</w:t>
      </w:r>
      <w:r>
        <w:rPr>
          <w:rtl w:val="0"/>
        </w:rPr>
      </w:r>
    </w:p>
    <w:tbl>
      <w:tblPr>
        <w:tblStyle w:val="Table8"/>
        <w:tblW w:w="8970.0" w:type="dxa"/>
        <w:jc w:val="left"/>
        <w:tblInd w:w="10.0" w:type="dxa"/>
        <w:tblLayout w:type="fixed"/>
        <w:tblLook w:val="0000"/>
      </w:tblPr>
      <w:tblGrid>
        <w:gridCol w:w="4485"/>
        <w:gridCol w:w="4485"/>
        <w:tblGridChange w:id="0">
          <w:tblGrid>
            <w:gridCol w:w="4485"/>
            <w:gridCol w:w="44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jc w:val="both"/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>
              <w:rPr>
                <w:sz w:val="22"/>
                <w:szCs w:val="22"/>
                <w:rtl w:val="0"/>
              </w:rPr>
              <w:t xml:space="preserve">9130 Păduri de fag de tip Asperulo-Fagetum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Specii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Amfibieni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 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>
              <w:rPr>
                <w:sz w:val="22"/>
                <w:szCs w:val="22"/>
                <w:rtl w:val="0"/>
              </w:rPr>
              <w:t xml:space="preserve">Valoarea ecologică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>
              <w:rPr>
                <w:sz w:val="22"/>
                <w:szCs w:val="22"/>
                <w:rtl w:val="0"/>
              </w:rPr>
              <w:t xml:space="preserve">Presiuni semnificative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>
              <w:rPr>
                <w:sz w:val="22"/>
                <w:szCs w:val="22"/>
                <w:rtl w:val="0"/>
              </w:rPr>
              <w:t xml:space="preserve">Obiective și măsuri de conservare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>
              <w:rPr>
                <w:sz w:val="22"/>
                <w:szCs w:val="22"/>
                <w:rtl w:val="0"/>
              </w:rPr>
              <w:t xml:space="preserve">Tipul de proprietate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1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>
        <w:rPr>
          <w:b w:val="1"/>
          <w:bCs w:val="1"/>
          <w:sz w:val="22"/>
          <w:szCs w:val="22"/>
          <w:rtl w:val="0"/>
        </w:rPr>
        <w:t xml:space="preserve">3.3. Bibliografie </w:t>
      </w:r>
      <w:r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Chirita C., Vlad I., Paunescu C., Patrascoiu  N., Rosu  C., Iancu I. 1977  “Statiuni forestiere”, Vol. II, , Ed. Academiei R.S.R., Bucuresti,                                                                                                                    - Doniţă, N., Ceianu, I., Purcelean, Ş., &amp; Beldie, A. (1977). Ecologie forestieră:(cu elemente de ecologie generală). Ceres.                                                                                                                                          - N. Donita, A. Popescu, Pauca- Comanescu M., Mihailescu S., 2005 - Habitatele din Romania” – Biris I., Editura Tehnica Silvica, Bucuresti,                                                                                          - Gafta D. &amp; Mountford J.O. 2008- “Manual de interpretare a habitatelor Natura 2000 din Romania”, Ed. RISOPRINT, editor M.M.D.D.                                                                                                            ”  </w:t>
      </w:r>
    </w:p>
    <w:p w:rsidR="00000000" w:rsidDel="00000000" w:rsidP="00000000" w:rsidRDefault="00000000" w:rsidRPr="00000000" w14:paraId="00000094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95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>
        <w:rPr>
          <w:rtl w:val="0"/>
        </w:rPr>
        <w:br w:type="textWrapping"/>
      </w:r>
      <w:r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>
        <w:rPr>
          <w:sz w:val="22"/>
          <w:szCs w:val="22"/>
          <w:rtl w:val="0"/>
        </w:rPr>
        <w:t xml:space="preserve">Detalii privind consultările publice realizate:</w:t>
      </w:r>
      <w:r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i69i6bue6lc" w:id="0"/>
      <w:bookmarkEnd w:id="0"/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11 octombrie 2024 – DS Buzău; 17 octombrie 2024 – corespondență DS Buzău, 21 mai 2025 – Buzău, jud. Buzău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99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sz w:val="22"/>
          <w:szCs w:val="22"/>
        </w:rPr>
      </w:pPr>
      <w:bookmarkStart w:colFirst="0" w:colLast="0" w:name="_heading=h.dwyiyjkuwbnu" w:id="1"/>
      <w:bookmarkEnd w:id="1"/>
      <w:r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9D">
      <w:pPr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Link: </w:t>
      </w:r>
      <w:hyperlink r:id="rId7">
        <w:r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YqMDbu6D1/Ae3rAY1C6MN/Ok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TY5aTZidWU2bGMyDmguZHd5aXlqa3V3Ym51OAByITF1M0dEbWI4NDVNQ3B2RUNVMjZSSDI5T0pCNVZTcjhU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